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b/>
          <w:b/>
          <w:bCs/>
          <w:i/>
          <w:i/>
          <w:iCs/>
        </w:rPr>
      </w:pPr>
      <w:bookmarkStart w:id="0" w:name="_Hlk125997823"/>
      <w:bookmarkStart w:id="1" w:name="_Hlk125996208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bookmarkEnd w:id="1"/>
      <w:r>
        <w:rPr>
          <w:b/>
          <w:bCs/>
          <w:i/>
          <w:iCs/>
        </w:rPr>
        <w:t>Técnico Auxiliar Deportes</w:t>
      </w:r>
      <w:bookmarkEnd w:id="0"/>
      <w:r>
        <w:rPr>
          <w:b/>
          <w:bCs/>
          <w:i/>
          <w:iCs/>
        </w:rPr>
        <w:t xml:space="preserve"> - 008C1AE</w:t>
      </w:r>
      <w:bookmarkStart w:id="2" w:name="_Hlk125998543"/>
      <w:bookmarkEnd w:id="2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0.0020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0.0002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3" w:name="_Hlk125196892"/>
            <w:bookmarkEnd w:id="3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4" w:name="_Hlk125196920"/>
            <w:bookmarkStart w:id="5" w:name="_Hlk125196920"/>
            <w:bookmarkEnd w:id="5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6" w:name="_Hlk125196285"/>
            <w:bookmarkStart w:id="7" w:name="_Hlk125196285"/>
            <w:bookmarkEnd w:id="7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0.002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0.0002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3</Pages>
  <Words>367</Words>
  <Characters>2008</Characters>
  <CharactersWithSpaces>2354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2023-01-30T18:16:00Z</dcterms:created>
  <dc:creator>Francisco</dc:creator>
  <dc:description/>
  <dc:language>es-ES</dc:language>
  <cp:lastModifiedBy/>
  <cp:lastPrinted>2023-01-30T18:06:00Z</cp:lastPrinted>
  <dcterms:modified xsi:type="dcterms:W3CDTF">2023-01-31T11:58:35Z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