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ANEXO 2 – Formulario de autobaremación de méritos profesionales</w:t>
      </w:r>
    </w:p>
    <w:p>
      <w:pPr>
        <w:pStyle w:val="Normal"/>
        <w:widowControl/>
        <w:suppressAutoHyphens w:val="false"/>
        <w:jc w:val="center"/>
        <w:rPr>
          <w:b/>
          <w:b/>
          <w:bCs/>
          <w:i/>
          <w:i/>
          <w:iCs/>
        </w:rPr>
      </w:pPr>
      <w:bookmarkStart w:id="0" w:name="_Hlk125999637"/>
      <w:bookmarkStart w:id="1" w:name="_Hlk125997823"/>
      <w:bookmarkStart w:id="2" w:name="_Hlk125996208"/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5 plazas de </w:t>
      </w:r>
      <w:bookmarkEnd w:id="0"/>
      <w:bookmarkEnd w:id="1"/>
      <w:bookmarkEnd w:id="2"/>
      <w:r>
        <w:rPr>
          <w:b/>
          <w:bCs/>
          <w:i/>
          <w:iCs/>
        </w:rPr>
        <w:t>Educador/a - 010C1AE, 011C1AE, 012C1AE, 013C1AE y 014C1AE</w:t>
      </w:r>
      <w:bookmarkStart w:id="3" w:name="_Hlk126000383"/>
      <w:bookmarkEnd w:id="3"/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i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MÉRITOS PROFESIONALES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"/>
        <w:gridCol w:w="87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0.0020 puntos</w:t>
            </w:r>
            <w:r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0.0010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0.0005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0.0002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1"/>
        <w:gridCol w:w="850"/>
        <w:gridCol w:w="2835"/>
        <w:gridCol w:w="710"/>
        <w:gridCol w:w="708"/>
        <w:gridCol w:w="709"/>
        <w:gridCol w:w="708"/>
        <w:gridCol w:w="850"/>
      </w:tblGrid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  <w:bookmarkStart w:id="4" w:name="_Hlk125196892"/>
            <w:bookmarkEnd w:id="4"/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0.002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0.0002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5" w:name="_Hlk125196920"/>
            <w:bookmarkStart w:id="6" w:name="_Hlk125196920"/>
            <w:bookmarkEnd w:id="6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7" w:name="_Hlk125196285"/>
            <w:bookmarkStart w:id="8" w:name="_Hlk125196285"/>
            <w:bookmarkEnd w:id="8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0.002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0.0002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LibreOffice/7.1.5.2$Windows_X86_64 LibreOffice_project/85f04e9f809797b8199d13c421bd8a2b025d52b5</Application>
  <AppVersion>15.0000</AppVersion>
  <Pages>3</Pages>
  <Words>370</Words>
  <Characters>2028</Characters>
  <CharactersWithSpaces>2377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2023-01-30T18:52:00Z</dcterms:created>
  <dc:creator>Francisco</dc:creator>
  <dc:description/>
  <dc:language>es-ES</dc:language>
  <cp:lastModifiedBy/>
  <cp:lastPrinted>2023-01-30T18:48:00Z</cp:lastPrinted>
  <dcterms:modified xsi:type="dcterms:W3CDTF">2023-01-31T12:00:59Z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