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ANEXO 2 – Formulario de autobaremación de méritos profesionales</w:t>
      </w:r>
    </w:p>
    <w:p>
      <w:pPr>
        <w:pStyle w:val="Normal"/>
        <w:widowControl/>
        <w:suppressAutoHyphens w:val="false"/>
        <w:jc w:val="center"/>
        <w:rPr>
          <w:b/>
          <w:b/>
          <w:bCs/>
          <w:i/>
          <w:i/>
          <w:iCs/>
        </w:rPr>
      </w:pPr>
      <w:bookmarkStart w:id="0" w:name="_Hlk125997823"/>
      <w:bookmarkStart w:id="1" w:name="_Hlk125996208"/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bookmarkEnd w:id="0"/>
      <w:bookmarkEnd w:id="1"/>
      <w:r>
        <w:rPr>
          <w:b/>
          <w:bCs/>
          <w:i/>
          <w:iCs/>
        </w:rPr>
        <w:t>Administrativo/a - 007C1AG</w:t>
      </w:r>
      <w:bookmarkStart w:id="2" w:name="_Hlk125999667"/>
      <w:bookmarkEnd w:id="2"/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i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MÉRITOS PROFESIONALES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"/>
        <w:gridCol w:w="87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0.0020 puntos</w:t>
            </w:r>
            <w:r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0.0010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0.0005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0.0002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1"/>
        <w:gridCol w:w="850"/>
        <w:gridCol w:w="2835"/>
        <w:gridCol w:w="710"/>
        <w:gridCol w:w="708"/>
        <w:gridCol w:w="709"/>
        <w:gridCol w:w="708"/>
        <w:gridCol w:w="850"/>
      </w:tblGrid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  <w:bookmarkStart w:id="3" w:name="_Hlk125196892"/>
            <w:bookmarkEnd w:id="3"/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0.002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0.0002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4" w:name="_Hlk125196920"/>
            <w:bookmarkStart w:id="5" w:name="_Hlk125196920"/>
            <w:bookmarkEnd w:id="5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6" w:name="_Hlk125196285"/>
            <w:bookmarkStart w:id="7" w:name="_Hlk125196285"/>
            <w:bookmarkEnd w:id="7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0.002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0.0002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LibreOffice/7.1.5.2$Windows_X86_64 LibreOffice_project/85f04e9f809797b8199d13c421bd8a2b025d52b5</Application>
  <AppVersion>15.0000</AppVersion>
  <Pages>3</Pages>
  <Words>365</Words>
  <Characters>2001</Characters>
  <CharactersWithSpaces>2345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2023-01-30T18:36:00Z</dcterms:created>
  <dc:creator>Francisco</dc:creator>
  <dc:description/>
  <dc:language>es-ES</dc:language>
  <cp:lastModifiedBy/>
  <cp:lastPrinted>2023-01-30T18:16:00Z</cp:lastPrinted>
  <dcterms:modified xsi:type="dcterms:W3CDTF">2023-01-31T11:46:55Z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